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19D" w14:textId="77777777" w:rsidR="00000000" w:rsidRDefault="00000000"/>
    <w:p w14:paraId="6346DCA5" w14:textId="77777777" w:rsidR="009C77A3" w:rsidRPr="009C77A3" w:rsidRDefault="009C77A3" w:rsidP="009C77A3">
      <w:pPr>
        <w:shd w:val="clear" w:color="auto" w:fill="FFFFFF"/>
        <w:spacing w:after="24" w:line="240" w:lineRule="auto"/>
        <w:jc w:val="center"/>
        <w:rPr>
          <w:rFonts w:ascii="Helvetica" w:eastAsia="Times New Roman" w:hAnsi="Helvetica" w:cs="Helvetica"/>
          <w:color w:val="232323"/>
          <w:sz w:val="34"/>
          <w:szCs w:val="34"/>
          <w:lang w:eastAsia="cs-CZ"/>
        </w:rPr>
      </w:pPr>
      <w:hyperlink r:id="rId4" w:anchor="lema1" w:history="1">
        <w:r w:rsidRPr="009C77A3">
          <w:rPr>
            <w:rFonts w:ascii="Helvetica" w:eastAsia="Times New Roman" w:hAnsi="Helvetica" w:cs="Helvetica"/>
            <w:color w:val="0000FF"/>
            <w:sz w:val="34"/>
            <w:szCs w:val="34"/>
            <w:lang w:eastAsia="cs-CZ"/>
          </w:rPr>
          <w:t>273/2021</w:t>
        </w:r>
      </w:hyperlink>
      <w:r w:rsidRPr="009C77A3">
        <w:rPr>
          <w:rFonts w:ascii="Helvetica" w:eastAsia="Times New Roman" w:hAnsi="Helvetica" w:cs="Helvetica"/>
          <w:color w:val="232323"/>
          <w:sz w:val="34"/>
          <w:szCs w:val="34"/>
          <w:lang w:eastAsia="cs-CZ"/>
        </w:rPr>
        <w:t> Sb.</w:t>
      </w:r>
    </w:p>
    <w:p w14:paraId="308B9104" w14:textId="77777777" w:rsidR="009C77A3" w:rsidRPr="009C77A3" w:rsidRDefault="009C77A3" w:rsidP="009C77A3">
      <w:pPr>
        <w:shd w:val="clear" w:color="auto" w:fill="FFFFFF"/>
        <w:spacing w:after="24" w:line="240" w:lineRule="auto"/>
        <w:jc w:val="center"/>
        <w:rPr>
          <w:rFonts w:ascii="Helvetica" w:eastAsia="Times New Roman" w:hAnsi="Helvetica" w:cs="Helvetica"/>
          <w:color w:val="232323"/>
          <w:sz w:val="34"/>
          <w:szCs w:val="3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34"/>
          <w:szCs w:val="34"/>
          <w:lang w:eastAsia="cs-CZ"/>
        </w:rPr>
        <w:t>VYHLÁŠKA</w:t>
      </w:r>
    </w:p>
    <w:p w14:paraId="75470F95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ze dne 12. července 2021</w:t>
      </w:r>
    </w:p>
    <w:p w14:paraId="422DABC2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o podrobnostech nakládání s odpady</w:t>
      </w:r>
    </w:p>
    <w:p w14:paraId="6D230937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31"/>
          <w:szCs w:val="31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31"/>
          <w:szCs w:val="31"/>
          <w:lang w:eastAsia="cs-CZ"/>
        </w:rPr>
        <w:t>ČÁST PRVNÍ</w:t>
      </w:r>
    </w:p>
    <w:p w14:paraId="742577B7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31"/>
          <w:szCs w:val="31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31"/>
          <w:szCs w:val="31"/>
          <w:lang w:eastAsia="cs-CZ"/>
        </w:rPr>
        <w:t>ÚVODNÍ USTANOVENÍ</w:t>
      </w:r>
    </w:p>
    <w:p w14:paraId="5C6EA7AE" w14:textId="77777777" w:rsidR="009C77A3" w:rsidRPr="009C77A3" w:rsidRDefault="009C77A3" w:rsidP="009C77A3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0" w:name="c_294"/>
      <w:bookmarkStart w:id="1" w:name="pa_1"/>
      <w:bookmarkStart w:id="2" w:name="p_1"/>
      <w:bookmarkEnd w:id="0"/>
      <w:bookmarkEnd w:id="1"/>
      <w:bookmarkEnd w:id="2"/>
      <w:r w:rsidRPr="009C77A3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1</w:t>
      </w:r>
    </w:p>
    <w:p w14:paraId="1C23B653" w14:textId="77777777" w:rsidR="009C77A3" w:rsidRPr="009C77A3" w:rsidRDefault="009C77A3" w:rsidP="009C77A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3" w:name="c_296"/>
      <w:bookmarkEnd w:id="3"/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Předmět úpravy</w:t>
      </w:r>
    </w:p>
    <w:p w14:paraId="21164826" w14:textId="77777777" w:rsidR="009C77A3" w:rsidRPr="009C77A3" w:rsidRDefault="009C77A3" w:rsidP="009C77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Tato vyhláška zapracovává příslušné předpisy Evropské unie</w:t>
      </w:r>
      <w:r w:rsidRPr="009C77A3">
        <w:rPr>
          <w:rFonts w:ascii="Helvetica" w:eastAsia="Times New Roman" w:hAnsi="Helvetica" w:cs="Helvetica"/>
          <w:color w:val="232323"/>
          <w:sz w:val="18"/>
          <w:szCs w:val="18"/>
          <w:vertAlign w:val="superscript"/>
          <w:lang w:eastAsia="cs-CZ"/>
        </w:rPr>
        <w:t>1)</w:t>
      </w: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, zároveň navazuje na přímo použitelné předpisy Evropské unie</w:t>
      </w:r>
      <w:r w:rsidRPr="009C77A3">
        <w:rPr>
          <w:rFonts w:ascii="Helvetica" w:eastAsia="Times New Roman" w:hAnsi="Helvetica" w:cs="Helvetica"/>
          <w:color w:val="232323"/>
          <w:sz w:val="18"/>
          <w:szCs w:val="18"/>
          <w:vertAlign w:val="superscript"/>
          <w:lang w:eastAsia="cs-CZ"/>
        </w:rPr>
        <w:t>2)</w:t>
      </w: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a upravuje</w:t>
      </w:r>
    </w:p>
    <w:p w14:paraId="6EDAA3E8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a) požadavky na zařízení určená pro nakládání s odpady a jejich provoz,</w:t>
      </w:r>
    </w:p>
    <w:p w14:paraId="54CEEDC5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b) podrobnosti předávání údajů o odpadech v rámci školního sběru,</w:t>
      </w:r>
    </w:p>
    <w:p w14:paraId="21848D63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c) technické podmínky soustřeďování odpadu,</w:t>
      </w:r>
    </w:p>
    <w:p w14:paraId="7530DB3D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d) podrobnosti pro využívání odpadů k zasypávání,</w:t>
      </w:r>
    </w:p>
    <w:p w14:paraId="6E57AFEA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e) podmínky, při jejichž splnění může být odpad vznikající při úpravě odděleně soustřeďovaných komunálních odpadů předáván k energetickému využití a k odstranění,</w:t>
      </w:r>
    </w:p>
    <w:p w14:paraId="35048E7B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f) podrobnosti ukládání odpadů na skládky,</w:t>
      </w:r>
    </w:p>
    <w:p w14:paraId="0ADAE2DF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g) podrobnosti přepravy odpadů a přeshraniční přepravy odpadů,</w:t>
      </w:r>
    </w:p>
    <w:p w14:paraId="0A3E44DB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h) požadavky na údaje o odpadu, základní popis odpadu, vedení průběžné evidence a ohlašování,</w:t>
      </w:r>
    </w:p>
    <w:p w14:paraId="11E42FBF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i) podrobnosti nakládání s komunálními odpady,</w:t>
      </w:r>
    </w:p>
    <w:p w14:paraId="7A086FF9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j) podrobnosti nakládání s nebezpečnými odpady,</w:t>
      </w:r>
    </w:p>
    <w:p w14:paraId="30BCAF80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k) podrobnosti vztahující se k vybraným kovovým odpadům,</w:t>
      </w:r>
    </w:p>
    <w:p w14:paraId="51A587B5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l) podrobnosti nakládání s vybouranými stavebními materiály při odstraňování stavby, provádění stavby nebo údržbě stavby,</w:t>
      </w:r>
    </w:p>
    <w:p w14:paraId="56540C29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m) podrobnosti nakládání s biologicky rozložitelnými odpady,</w:t>
      </w:r>
    </w:p>
    <w:p w14:paraId="71635FD3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n) podrobnosti komunitního kompostování,</w:t>
      </w:r>
    </w:p>
    <w:p w14:paraId="0C60272E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o) podrobnosti nakládání s kaly,</w:t>
      </w:r>
    </w:p>
    <w:p w14:paraId="5FCBB732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p) podrobnosti nakládání s polychlorovanými bifenyly,</w:t>
      </w:r>
    </w:p>
    <w:p w14:paraId="253FEECE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q) podrobnosti nakládání s odpadní rtutí,</w:t>
      </w:r>
    </w:p>
    <w:p w14:paraId="20B90F0F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r) podrobnosti nakládání s odpadními oleji,</w:t>
      </w:r>
    </w:p>
    <w:p w14:paraId="76836B18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s) podrobnosti nakládání s léčivy z domácností a</w:t>
      </w:r>
    </w:p>
    <w:p w14:paraId="2AB05DD9" w14:textId="77777777" w:rsidR="009C77A3" w:rsidRPr="009C77A3" w:rsidRDefault="009C77A3" w:rsidP="009C77A3">
      <w:pPr>
        <w:shd w:val="clear" w:color="auto" w:fill="FFFFFF"/>
        <w:spacing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t) podrobnosti ekonomických nástrojů.</w:t>
      </w:r>
    </w:p>
    <w:p w14:paraId="4B0D177C" w14:textId="77777777" w:rsidR="009C77A3" w:rsidRDefault="009C77A3"/>
    <w:p w14:paraId="504ADF17" w14:textId="77777777" w:rsidR="009C77A3" w:rsidRDefault="009C77A3"/>
    <w:p w14:paraId="635D5689" w14:textId="77777777" w:rsidR="009C77A3" w:rsidRDefault="009C77A3"/>
    <w:p w14:paraId="0ECDB62A" w14:textId="77777777" w:rsidR="009C77A3" w:rsidRDefault="009C77A3"/>
    <w:p w14:paraId="04D22E6C" w14:textId="77777777" w:rsidR="009C77A3" w:rsidRDefault="009C77A3"/>
    <w:p w14:paraId="0E4B8B73" w14:textId="77777777" w:rsidR="009C77A3" w:rsidRDefault="009C77A3"/>
    <w:p w14:paraId="033186AF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29"/>
          <w:szCs w:val="29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9"/>
          <w:szCs w:val="29"/>
          <w:lang w:eastAsia="cs-CZ"/>
        </w:rPr>
        <w:lastRenderedPageBreak/>
        <w:t>HLAVA IV</w:t>
      </w:r>
    </w:p>
    <w:p w14:paraId="1E089B21" w14:textId="77777777" w:rsidR="009C77A3" w:rsidRPr="009C77A3" w:rsidRDefault="009C77A3" w:rsidP="009C77A3">
      <w:pPr>
        <w:shd w:val="clear" w:color="auto" w:fill="FFFFFF"/>
        <w:spacing w:after="96" w:line="240" w:lineRule="auto"/>
        <w:jc w:val="center"/>
        <w:rPr>
          <w:rFonts w:ascii="Helvetica" w:eastAsia="Times New Roman" w:hAnsi="Helvetica" w:cs="Helvetica"/>
          <w:color w:val="232323"/>
          <w:sz w:val="29"/>
          <w:szCs w:val="29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9"/>
          <w:szCs w:val="29"/>
          <w:lang w:eastAsia="cs-CZ"/>
        </w:rPr>
        <w:t>STAVEBNÍ A DEMOLIČNÍ ODPADY</w:t>
      </w:r>
    </w:p>
    <w:p w14:paraId="4B33F344" w14:textId="77777777" w:rsidR="009C77A3" w:rsidRPr="009C77A3" w:rsidRDefault="009C77A3" w:rsidP="009C77A3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4" w:name="c_9612"/>
      <w:bookmarkStart w:id="5" w:name="pa_42"/>
      <w:bookmarkStart w:id="6" w:name="p_42"/>
      <w:bookmarkEnd w:id="4"/>
      <w:bookmarkEnd w:id="5"/>
      <w:bookmarkEnd w:id="6"/>
      <w:r w:rsidRPr="009C77A3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42</w:t>
      </w:r>
    </w:p>
    <w:p w14:paraId="230863FA" w14:textId="77777777" w:rsidR="009C77A3" w:rsidRPr="009C77A3" w:rsidRDefault="009C77A3" w:rsidP="009C77A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7" w:name="c_9614"/>
      <w:bookmarkEnd w:id="7"/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Nakládání s vybouranými stavebními materiály při odstraňování stavby, provádění stavby nebo údržbě stavby</w:t>
      </w:r>
    </w:p>
    <w:p w14:paraId="13F0335B" w14:textId="77777777" w:rsidR="009C77A3" w:rsidRPr="009C77A3" w:rsidRDefault="009C77A3" w:rsidP="009C77A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(1) Při odstraňování stavby, provádění stavby nebo údržbě stavby se odděleně soustřeďují</w:t>
      </w:r>
    </w:p>
    <w:p w14:paraId="00EEF31E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a) vybourané stavební materiály a výrobky, které je možné opětovně použít nebo stavební a demoliční odpady, které je možné recyklovat; tato povinnost se vztahuje alespoň na materiály nebo odpady vymezené v bodě 1 </w:t>
      </w:r>
      <w:hyperlink r:id="rId5" w:history="1">
        <w:r w:rsidRPr="009C77A3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přílohy č. 24</w:t>
        </w:r>
      </w:hyperlink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k této vyhlášce,</w:t>
      </w:r>
    </w:p>
    <w:p w14:paraId="69F17D31" w14:textId="77777777" w:rsidR="009C77A3" w:rsidRPr="009C77A3" w:rsidRDefault="009C77A3" w:rsidP="009C77A3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b) vybourané stavební materiály, které mohou být dále využity v režimu vedlejšího produktu; tato povinnost se vztahuje alespoň na materiály nebo odpady vymezené v bodě 2 </w:t>
      </w:r>
      <w:hyperlink r:id="rId6" w:history="1">
        <w:r w:rsidRPr="009C77A3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přílohy č. 24</w:t>
        </w:r>
      </w:hyperlink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k této vyhlášce,</w:t>
      </w:r>
    </w:p>
    <w:p w14:paraId="705CC2F3" w14:textId="77777777" w:rsidR="009C77A3" w:rsidRPr="009C77A3" w:rsidRDefault="009C77A3" w:rsidP="009C77A3">
      <w:pPr>
        <w:shd w:val="clear" w:color="auto" w:fill="FFFFFF"/>
        <w:spacing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c) stavební a demoliční odpady, které obsahují nebezpečné složky; tato povinnost se vztahuje alespoň na odpady vymezené v bodě 3 </w:t>
      </w:r>
      <w:hyperlink r:id="rId7" w:history="1">
        <w:r w:rsidRPr="009C77A3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přílohy č. 24</w:t>
        </w:r>
      </w:hyperlink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k této vyhlášce.</w:t>
      </w:r>
    </w:p>
    <w:p w14:paraId="31AFDD23" w14:textId="77777777" w:rsidR="009C77A3" w:rsidRPr="009C77A3" w:rsidRDefault="009C77A3" w:rsidP="009C77A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(2) Při odstraňování stavby, provádění stavby nebo údržbě stavby se musí se stavebními a demoličními odpady obsahujícími nebezpečné látky nakládat takovým způsobem, aby nedošlo ke znečištění ostatních vybouraných stavebních materiálů, vedlejších produktů nebo stavebních a demoličních odpadů určených k recyklaci nebo opětovnému použití.</w:t>
      </w:r>
    </w:p>
    <w:p w14:paraId="42C3611B" w14:textId="77777777" w:rsidR="009C77A3" w:rsidRPr="009C77A3" w:rsidRDefault="009C77A3" w:rsidP="009C77A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(3) Vybourané stavební a demoliční odpady obsahující azbest musí být neprodleně po vzniku zabaleny do neprodyšných obalů nebo uloženy do utěsněných nádob či kontejnerů a označeny a předány do zařízení pro nakládání s odpady, které je určeno k jejich sběru nebo odstranění.</w:t>
      </w:r>
    </w:p>
    <w:p w14:paraId="5C711708" w14:textId="77777777" w:rsidR="009C77A3" w:rsidRDefault="009C77A3">
      <w:r>
        <w:br w:type="page"/>
      </w:r>
    </w:p>
    <w:p w14:paraId="798D8005" w14:textId="77777777" w:rsidR="009C77A3" w:rsidRPr="009C77A3" w:rsidRDefault="009C77A3" w:rsidP="009C77A3">
      <w:pPr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lastRenderedPageBreak/>
        <w:t>Příl.24</w:t>
      </w:r>
    </w:p>
    <w:p w14:paraId="44753228" w14:textId="77777777" w:rsidR="009C77A3" w:rsidRPr="009C77A3" w:rsidRDefault="009C77A3" w:rsidP="009C77A3">
      <w:pPr>
        <w:spacing w:after="96" w:line="240" w:lineRule="auto"/>
        <w:jc w:val="center"/>
        <w:rPr>
          <w:rFonts w:ascii="Helvetica" w:eastAsia="Times New Roman" w:hAnsi="Helvetica" w:cs="Helvetica"/>
          <w:b/>
          <w:color w:val="232323"/>
          <w:sz w:val="24"/>
          <w:szCs w:val="24"/>
          <w:lang w:eastAsia="cs-CZ"/>
        </w:rPr>
      </w:pPr>
      <w:bookmarkStart w:id="8" w:name="c_61375"/>
      <w:bookmarkEnd w:id="8"/>
      <w:r w:rsidRPr="009C77A3">
        <w:rPr>
          <w:rFonts w:ascii="Helvetica" w:eastAsia="Times New Roman" w:hAnsi="Helvetica" w:cs="Helvetica"/>
          <w:b/>
          <w:color w:val="232323"/>
          <w:sz w:val="24"/>
          <w:szCs w:val="24"/>
          <w:lang w:eastAsia="cs-CZ"/>
        </w:rPr>
        <w:t xml:space="preserve">Vybourané stavební materiály, výrobky, vedlejší produkty a stavební </w:t>
      </w:r>
      <w:r w:rsidRPr="00255876">
        <w:rPr>
          <w:b/>
          <w:lang w:eastAsia="cs-CZ"/>
        </w:rPr>
        <w:t>a</w:t>
      </w:r>
      <w:r w:rsidR="00255876" w:rsidRPr="00255876">
        <w:rPr>
          <w:b/>
        </w:rPr>
        <w:t> d</w:t>
      </w:r>
      <w:r w:rsidRPr="00255876">
        <w:rPr>
          <w:b/>
          <w:lang w:eastAsia="cs-CZ"/>
        </w:rPr>
        <w:t>emoliční</w:t>
      </w:r>
      <w:r w:rsidRPr="009C77A3">
        <w:rPr>
          <w:rFonts w:ascii="Helvetica" w:eastAsia="Times New Roman" w:hAnsi="Helvetica" w:cs="Helvetica"/>
          <w:b/>
          <w:color w:val="232323"/>
          <w:sz w:val="24"/>
          <w:szCs w:val="24"/>
          <w:lang w:eastAsia="cs-CZ"/>
        </w:rPr>
        <w:t xml:space="preserve"> odpady, které musí být soustřeďovány odděleně</w:t>
      </w:r>
    </w:p>
    <w:p w14:paraId="5F120990" w14:textId="77777777" w:rsidR="009C77A3" w:rsidRPr="009C77A3" w:rsidRDefault="009C77A3" w:rsidP="009C77A3">
      <w:pPr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1. Neznečištěné vybourané stavební materiály a výrobky, které je možné opětovně použít nebo stavební a demoliční odpady, které je možné recyklovat:</w:t>
      </w:r>
    </w:p>
    <w:p w14:paraId="5205BBC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stacionární stroje,</w:t>
      </w:r>
    </w:p>
    <w:p w14:paraId="410141F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elektrické přístroje,</w:t>
      </w:r>
    </w:p>
    <w:p w14:paraId="684C92EB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podlahové konstrukce,</w:t>
      </w:r>
    </w:p>
    <w:p w14:paraId="5CAD3AAE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sanitární technika,</w:t>
      </w:r>
    </w:p>
    <w:p w14:paraId="7CB101F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sklo, ploché sklo, izolační sklo, sklo pro stavební účely, skleněné stěny a stěny z luxfer,</w:t>
      </w:r>
    </w:p>
    <w:p w14:paraId="2DA5825A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dřevo a výrobky ze dřeva neznečištěné nebezpečnými látkami,</w:t>
      </w:r>
    </w:p>
    <w:p w14:paraId="418688E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dveře a okna a další výplně stavebních otvorů,</w:t>
      </w:r>
    </w:p>
    <w:p w14:paraId="613E76A2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rostliny,</w:t>
      </w:r>
    </w:p>
    <w:p w14:paraId="3459FC9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beton a betonové konstrukce,</w:t>
      </w:r>
    </w:p>
    <w:p w14:paraId="7B3C2197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cihly a zdicí prvky,</w:t>
      </w:r>
    </w:p>
    <w:p w14:paraId="4CE19DE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střešní tašky,</w:t>
      </w:r>
    </w:p>
    <w:p w14:paraId="0673B775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keramické obkladové prvky, další obkladové prvky a sanitární keramika,</w:t>
      </w:r>
    </w:p>
    <w:p w14:paraId="2051C5BE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asfaltové směsi, které neobsahují nebezpečné látky,</w:t>
      </w:r>
    </w:p>
    <w:p w14:paraId="7C1BD360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zemina a kamení, které neobsahují nebezpečné látky,</w:t>
      </w:r>
    </w:p>
    <w:p w14:paraId="5289036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štěrk ze železničního svršku, který neobsahuje nebezpečné látky,</w:t>
      </w:r>
    </w:p>
    <w:p w14:paraId="6D549E9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sádrokartonové desky a stavební materiály na bázi sádry, které neobsahují nebezpečné látky,</w:t>
      </w:r>
    </w:p>
    <w:p w14:paraId="62552A0C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konstrukční kovové stavební díly a jiné kovové výrobky,</w:t>
      </w:r>
    </w:p>
    <w:p w14:paraId="783AFFDF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plastové výrobky a materiály z PVC (Polyvinylchlorid) - okenní profily, podlahové krytiny, hydroizolační fólie, střešní krytina a další,</w:t>
      </w:r>
    </w:p>
    <w:p w14:paraId="0A771556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plastové stavební výrobky a materiály jiné než PVC,</w:t>
      </w:r>
    </w:p>
    <w:p w14:paraId="157A3985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pěnový polystyren, který neobsahuje nebezpečné látky,</w:t>
      </w:r>
    </w:p>
    <w:p w14:paraId="0CFD5C6A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minerální vlna, která neobsahuje nebezpečné látky,</w:t>
      </w:r>
    </w:p>
    <w:p w14:paraId="6ECF11B7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směsi betonu, cihel, tašek a keramických výrobků, které neobsahují nebezpečné látky,</w:t>
      </w:r>
    </w:p>
    <w:p w14:paraId="18E79710" w14:textId="77777777" w:rsidR="00255876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polyvinylchlorid (okenní profily, podlahové krytiny, hydroizolační fólie, střešní krytina).</w:t>
      </w:r>
    </w:p>
    <w:p w14:paraId="079B04C7" w14:textId="77777777" w:rsidR="00255876" w:rsidRDefault="00255876">
      <w:pPr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br w:type="page"/>
      </w:r>
    </w:p>
    <w:p w14:paraId="6112F01A" w14:textId="77777777" w:rsidR="009C77A3" w:rsidRPr="009C77A3" w:rsidRDefault="009C77A3" w:rsidP="009C77A3">
      <w:pPr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lastRenderedPageBreak/>
        <w:t>2. Vybourané stavební materiály, které jsou vedlejším produktem.</w:t>
      </w:r>
    </w:p>
    <w:p w14:paraId="2E91FCEC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zeminy a kamení,</w:t>
      </w:r>
    </w:p>
    <w:p w14:paraId="31A0BDA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znovuzískané asfaltové směsi.</w:t>
      </w:r>
    </w:p>
    <w:p w14:paraId="7E989A4A" w14:textId="77777777" w:rsidR="009C77A3" w:rsidRPr="009C77A3" w:rsidRDefault="009C77A3" w:rsidP="009C77A3">
      <w:pPr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3. Stavební a demoliční odpady, které obsahují nebezpečné složky:</w:t>
      </w:r>
    </w:p>
    <w:p w14:paraId="3F63F4EE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izolační materiály s obsahem azbestu,</w:t>
      </w:r>
    </w:p>
    <w:p w14:paraId="78B82599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materiály obsahující azbest,</w:t>
      </w:r>
    </w:p>
    <w:p w14:paraId="4B87684D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sklo, plasty a dřevo obsahující nebezpečné látky nebo nebezpečnými látkami znečištěné,</w:t>
      </w:r>
    </w:p>
    <w:p w14:paraId="24B9266B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asfaltové směsi katalogové číslo 17 03 01*,</w:t>
      </w:r>
    </w:p>
    <w:p w14:paraId="6E03A58B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zemina a kamení obsahující nebezpečné látky,</w:t>
      </w:r>
    </w:p>
    <w:p w14:paraId="1CF2BB10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vytěžená hlušina obsahující nebezpečné látky,</w:t>
      </w:r>
    </w:p>
    <w:p w14:paraId="26FF082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štěrk ze železničního svršku obsahující nebezpečné látky,</w:t>
      </w:r>
    </w:p>
    <w:p w14:paraId="20E810D1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pěnový polystyren, který obsahuje nebezpečné látky,</w:t>
      </w:r>
    </w:p>
    <w:p w14:paraId="01D9DD33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minerální vlna, která obsahuje nebezpečné látky,</w:t>
      </w:r>
    </w:p>
    <w:p w14:paraId="1E0794A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jiné izolační materiály, které jsou nebo obsahují nebezpečné látky,</w:t>
      </w:r>
    </w:p>
    <w:p w14:paraId="23DE2A61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materiály na bázi sádry znečištěné nebezpečnými látkami,</w:t>
      </w:r>
    </w:p>
    <w:p w14:paraId="1D0C8AB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a demoliční odpady obsahující rtuť,</w:t>
      </w:r>
    </w:p>
    <w:p w14:paraId="0531EF77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a demoliční odpady obsahující PCB,</w:t>
      </w:r>
    </w:p>
    <w:p w14:paraId="67BC5410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směsi nebo oddělené frakce betonu, cihel, tašek a keramických výrobků obsahující nebezpečné látky,</w:t>
      </w:r>
    </w:p>
    <w:p w14:paraId="3EF1CD9E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jiné stavební a demoliční odpady, včetně směsných stavebních a demoličních odpadů, obsahující nebezpečné látky,</w:t>
      </w:r>
    </w:p>
    <w:p w14:paraId="5D69FE23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díly obsahující minerální oleje nebo jimi znečištěné,</w:t>
      </w:r>
    </w:p>
    <w:p w14:paraId="46477974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škvára obsahující nebezpečné látky,</w:t>
      </w:r>
    </w:p>
    <w:p w14:paraId="3F0B30D5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- elektrické součásti a zařízení obsahující škodlivé látky (např. plynové lampy obsahující </w:t>
      </w:r>
      <w:proofErr w:type="spellStart"/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Hg</w:t>
      </w:r>
      <w:proofErr w:type="spellEnd"/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, zářivky, úsporné žárovky; kondenzátory obsahující PCB, jiná elektrická zařízení obsahující PCB, kabely s jinými izolačními kapalinami),</w:t>
      </w:r>
    </w:p>
    <w:p w14:paraId="2B5D1F1E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chladicí látky a izolační materiály v chladicích a klimatizačních přístrojích s částečně halogenovanými chlor-fluorovanými uhlovodíky,</w:t>
      </w:r>
    </w:p>
    <w:p w14:paraId="2E7F7D2B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materiály obsahující polycyklické aromatické uhlovodíky jiné než asfaltové směsi uvedené pod katalogovým číslem 17 03 01*,</w:t>
      </w:r>
    </w:p>
    <w:p w14:paraId="6BF1A818" w14:textId="77777777" w:rsidR="009C77A3" w:rsidRPr="009C77A3" w:rsidRDefault="009C77A3" w:rsidP="009C77A3">
      <w:pPr>
        <w:spacing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9C77A3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- stavební díly, které obsahují nebo k jejichž impregnaci byly použity soli, oleje, dehtové oleje nebo fenolový olej.</w:t>
      </w:r>
    </w:p>
    <w:p w14:paraId="30CA99E1" w14:textId="77777777" w:rsidR="009C77A3" w:rsidRDefault="009C77A3"/>
    <w:sectPr w:rsidR="009C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A3"/>
    <w:rsid w:val="00255876"/>
    <w:rsid w:val="006E274A"/>
    <w:rsid w:val="006E6122"/>
    <w:rsid w:val="009601C6"/>
    <w:rsid w:val="009C77A3"/>
    <w:rsid w:val="00C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DEF6"/>
  <w15:chartTrackingRefBased/>
  <w15:docId w15:val="{949500DB-1D0B-453C-BADB-57449950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467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19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15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13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91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15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581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48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97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7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50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09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78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5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89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501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7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51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655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797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8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150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146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83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88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86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554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537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31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6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740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29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034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64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41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76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113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46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05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75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153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060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85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32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87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96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138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80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86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77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7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4844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436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247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836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75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640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6118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612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96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145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078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46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4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720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50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0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47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452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0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019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008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90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20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92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810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705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717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75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11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90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90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36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83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299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36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83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36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35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spi.cz/products/lawText/1/96877/1/2/ASPI%253A/273/2021%20Sb.%2523P%25F8%25EDl/.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96877/1/2/ASPI%253A/273/2021%20Sb.%2523P%25F8%25EDl/.24" TargetMode="External"/><Relationship Id="rId5" Type="http://schemas.openxmlformats.org/officeDocument/2006/relationships/hyperlink" Target="https://www.aspi.cz/products/lawText/1/96877/1/2/ASPI%253A/273/2021%20Sb.%2523P%25F8%25EDl/.24" TargetMode="External"/><Relationship Id="rId4" Type="http://schemas.openxmlformats.org/officeDocument/2006/relationships/hyperlink" Target="https://www.aspi.cz/products/lawText/1/96877/1/2/vyhlaska-c-273-2021-sb-o-podrobnostech-nakladani-s-odpady?vtextu=273/2021%2A273/20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Iveta Busková</cp:lastModifiedBy>
  <cp:revision>2</cp:revision>
  <dcterms:created xsi:type="dcterms:W3CDTF">2025-08-28T06:42:00Z</dcterms:created>
  <dcterms:modified xsi:type="dcterms:W3CDTF">2025-08-28T06:42:00Z</dcterms:modified>
</cp:coreProperties>
</file>